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Title: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Enterprise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CyberSecurity) Policy and Procedures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7/1/2016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Number: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XXXX </w:t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Number of Credits: 3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2"/>
        <w:gridCol w:w="5648"/>
        <w:tblGridChange w:id="0">
          <w:tblGrid>
            <w:gridCol w:w="3702"/>
            <w:gridCol w:w="5648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Subject Area:</w:t>
            </w:r>
            <w:r w:rsidDel="00000000" w:rsidR="00000000" w:rsidRPr="00000000">
              <w:rPr>
                <w:rtl w:val="0"/>
              </w:rPr>
              <w:t xml:space="preserve"> Security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Subject Area Coordinator: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Nagarajan Prabakar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prabakar@cs.fiu.edu 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Catalog Description: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Policies and practices for information assurance, incident response, disaster recovery, cost assessment, vulnerability assessment, vulnerability testing.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Textbook: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Security Policies and Implementation Issues, Second Edition. Robert Johnson. 2015.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9781284055993 Jones &amp; Bartlett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Prerequisites Courses: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CNT 4403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Corequisites Courses: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None 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Type: Concentration in cybersecurity for 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Prerequisite Topics: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Fundamental concepts of Operating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Strong networking concepts, especially TCP/IP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Basic security concepts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Course Outcomes: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Describe major developments in IAS and related models of security services and countermeasures.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Prepare a threat analysis and appropriate countermeasures.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Identify risks associated with various types of company assets and quantitative and qualitative metrics for evaluating risks and countermeasures.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Perform a comprehensive risk assessment for a specified organization.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Justify appropriate mitigation strategies by comparing the costs associated with a specific risk and the mitigation strategy.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the purpose and elements of the key types of security audits. Discuss how various security standards (i.e. ISO 177799) impact the direction of these audits.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Describe legal and ethical considerations related to the handling and management of enterprise information assets.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Develop an incident handling report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Create a business impact analysis (BIA) including cost/risk comparisons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Discuss the role of CASPR (Commonly Accepted Security Practices and Recommendations) forms in defining and approving standard operational and management practices.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Give an example of how vulnerability in one area of an organization might enable a compromise in another area.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School of Computing and Information Sciences </w:t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XXXX</w:t>
      </w:r>
      <w:r w:rsidDel="00000000" w:rsidR="00000000" w:rsidRPr="00000000">
        <w:rPr>
          <w:rFonts w:ascii="MS Mincho" w:cs="MS Mincho" w:eastAsia="MS Mincho" w:hAnsi="MS Mincho"/>
          <w:b w:val="1"/>
          <w:rtl w:val="0"/>
        </w:rPr>
        <w:t xml:space="preserve">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CyberSecurity Policy and Procedures</w:t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Outline</w:t>
      </w:r>
    </w:p>
    <w:tbl>
      <w:tblPr>
        <w:tblStyle w:val="Table2"/>
        <w:bidi w:val="0"/>
        <w:tblW w:w="8990.0" w:type="dxa"/>
        <w:jc w:val="left"/>
        <w:tblInd w:w="2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45"/>
        <w:gridCol w:w="2610"/>
        <w:gridCol w:w="1435"/>
        <w:tblGridChange w:id="0">
          <w:tblGrid>
            <w:gridCol w:w="4945"/>
            <w:gridCol w:w="2610"/>
            <w:gridCol w:w="143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Number of Lecture Hours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Outcome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after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School of Computing and Information Sciences </w:t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XXXX</w:t>
      </w:r>
      <w:r w:rsidDel="00000000" w:rsidR="00000000" w:rsidRPr="00000000">
        <w:rPr>
          <w:rFonts w:ascii="MS Mincho" w:cs="MS Mincho" w:eastAsia="MS Mincho" w:hAnsi="MS Mincho"/>
          <w:b w:val="1"/>
          <w:rtl w:val="0"/>
        </w:rPr>
        <w:t xml:space="preserve">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CyberSecurity Policy and Procedures</w:t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Outcomes Emphasized in Laboratory Projects / Assignments</w:t>
      </w:r>
      <w:r w:rsidDel="00000000" w:rsidR="00000000" w:rsidRPr="00000000">
        <w:rPr>
          <w:rtl w:val="0"/>
        </w:rPr>
      </w:r>
    </w:p>
    <w:tbl>
      <w:tblPr>
        <w:tblStyle w:val="Table3"/>
        <w:bidi w:val="0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Outcome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Number of Weeks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Oral and Written Communication: </w:t>
      </w:r>
      <w:r w:rsidDel="00000000" w:rsidR="00000000" w:rsidRPr="00000000">
        <w:rPr>
          <w:rtl w:val="0"/>
        </w:rPr>
        <w:t xml:space="preserve">No significant coverage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 xml:space="preserve">Number of written reports: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 xml:space="preserve">Approximate number of pages for each report: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 xml:space="preserve">Number of required oral presentations: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 xml:space="preserve">Approximate time for each presentation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Social and Ethical Implications of Computing Topics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Describe legal and ethical considerations related to the handling and management of enterprise information assets. (7)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Theoretical Contents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Problem Analysis Experiences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Solution Design Experiences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foot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MS Mincho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  <w:jc w:val="center"/>
    </w:pPr>
    <w:fldSimple w:instr="PAGE" w:fldLock="0" w:dirty="0"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720" w:before="0" w:line="240" w:lineRule="auto"/>
      <w:contextualSpacing w:val="0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