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sz w:val="40"/>
          <w:szCs w:val="40"/>
          <w:rtl w:val="0"/>
        </w:rPr>
        <w:t xml:space="preserve">Undergraduate Committee</w:t>
      </w:r>
    </w:p>
    <w:p w:rsidR="00000000" w:rsidDel="00000000" w:rsidP="00000000" w:rsidRDefault="00000000" w:rsidRPr="00000000">
      <w:pPr>
        <w:contextualSpacing w:val="0"/>
        <w:jc w:val="center"/>
      </w:pPr>
      <w:r w:rsidDel="00000000" w:rsidR="00000000" w:rsidRPr="00000000">
        <w:rPr>
          <w:sz w:val="40"/>
          <w:szCs w:val="40"/>
          <w:rtl w:val="0"/>
        </w:rPr>
        <w:t xml:space="preserve">Security Subcommittee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Members: Pat McDermott-Wells, Rick Blazek, Tim Downey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Meeting on April 25, 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committee recommends that the IT program add an elective area dedicated to security.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gjdgxs" w:id="0"/>
      <w:bookmarkEnd w:id="0"/>
      <w:r w:rsidDel="00000000" w:rsidR="00000000" w:rsidRPr="00000000">
        <w:rPr>
          <w:rtl w:val="0"/>
        </w:rPr>
        <w:t xml:space="preserve">After reviewing the recommended learning outcomes from the ACM, we have determined that the following courses are appropriate for the concentration: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pPr>
      <w:r w:rsidDel="00000000" w:rsidR="00000000" w:rsidRPr="00000000">
        <w:rPr>
          <w:rFonts w:ascii="Calibri" w:cs="Calibri" w:eastAsia="Calibri" w:hAnsi="Calibri"/>
          <w:b w:val="0"/>
          <w:sz w:val="24"/>
          <w:szCs w:val="24"/>
          <w:rtl w:val="0"/>
        </w:rPr>
        <w:t xml:space="preserve">Mobile and IoT Security Policies and Practices – The Internet of Things (IoT) will demand new security policies, but current mobile policies can be the basis of these new policies. The course will investigate current mobile policies and how they relate to emerging policies for IoT.</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pPr>
      <w:r w:rsidDel="00000000" w:rsidR="00000000" w:rsidRPr="00000000">
        <w:rPr>
          <w:rFonts w:ascii="Calibri" w:cs="Calibri" w:eastAsia="Calibri" w:hAnsi="Calibri"/>
          <w:b w:val="0"/>
          <w:sz w:val="24"/>
          <w:szCs w:val="24"/>
          <w:rtl w:val="0"/>
        </w:rPr>
        <w:t xml:space="preserve">Security Policies and Practices – Policies and practices for information assurance, incident response, disaster recovery, cost assessment, vulnerability assessment, vulnerability testing. </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pPr>
      <w:r w:rsidDel="00000000" w:rsidR="00000000" w:rsidRPr="00000000">
        <w:rPr>
          <w:rFonts w:ascii="Calibri" w:cs="Calibri" w:eastAsia="Calibri" w:hAnsi="Calibri"/>
          <w:b w:val="0"/>
          <w:sz w:val="24"/>
          <w:szCs w:val="24"/>
          <w:rtl w:val="0"/>
        </w:rPr>
        <w:t xml:space="preserve">Forensics – Preserving evidence, admissible evidence, chain of custody, capturing evidence, reasonable expectation of privacy, disk analysis, analyzing data.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first two courses will need to be developed.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EEL 4802 is an existing forensics course. Due to the strong prerequisite background for our students, including operating systems and networks, we recommend that additional outcomes be added to the course to meet advanced learning outcomes suggested by ACM.</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