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Title: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Enterprise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CyberSecurity) Policy and Procedures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7/1/2016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Number: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XXXX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Number of Credits: 3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2"/>
        <w:gridCol w:w="5648"/>
        <w:tblGridChange w:id="0">
          <w:tblGrid>
            <w:gridCol w:w="3702"/>
            <w:gridCol w:w="5648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Subject Area:</w:t>
            </w:r>
            <w:r w:rsidDel="00000000" w:rsidR="00000000" w:rsidRPr="00000000">
              <w:rPr>
                <w:rtl w:val="0"/>
              </w:rPr>
              <w:t xml:space="preserve"> Security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Subject Area Coordinator: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Nagarajan Prabakar 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prabakar@cs.fiu.edu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Catalog Description: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Policies and practices for information assurance, incident response, disaster recovery, cost assessment, vulnerability assessment, vulnerability testing.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Textbook: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Security Policies and Implementation Issues, Second Edition. Robert Johnson. 2015.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9781284055993 Jones &amp; Bartlett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Prerequisites Courses: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CNT 4403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Corequisites Courses: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None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Type: Concentration in cybersecurity for 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Prerequisite Topics: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Fundamental concepts of Operating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Strong networking concepts, especially TCP/IP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Basic security concepts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 Outcomes: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major developments in IAS and related models of security services and countermeasures.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Prepare a threat analysis and appropriate countermeasures.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Identify risks associated with various types of company assets and quantitative and qualitative metrics for evaluating risks and countermeasures.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Perform a comprehensive risk assessment for a specified organization.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Justify appropriate mitigation strategies by comparing the costs associated with a specific risk and the mitigation strategy.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Describe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the purpose and elements of the key types of security audits. Discuss how various security standards (i.e. ISO 177799) impact the direction of these audits.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Describe legal and ethical considerations related to the handling and management of enterprise information assets.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Develop an incident handling report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Create a business impact analysis (BIA) including cost/risk comparisons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Discuss the role of CASPR (Commonly Accepted Security Practices and Recommendations) forms in defining and approving standard operational and management practices.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24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Give an example of how vulnerability in one area of an organization might enable a compromise in another area.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of Computing and Information Sciences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XXXX</w:t>
      </w:r>
      <w:r w:rsidDel="00000000" w:rsidR="00000000" w:rsidRPr="00000000">
        <w:rPr>
          <w:rFonts w:ascii="MS Mincho" w:cs="MS Mincho" w:eastAsia="MS Mincho" w:hAnsi="MS Mincho"/>
          <w:b w:val="1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CyberSecurity Policy and Procedures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Outline</w:t>
      </w:r>
    </w:p>
    <w:tbl>
      <w:tblPr>
        <w:tblStyle w:val="Table2"/>
        <w:bidi w:val="0"/>
        <w:tblW w:w="8990.0" w:type="dxa"/>
        <w:jc w:val="left"/>
        <w:tblInd w:w="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45"/>
        <w:gridCol w:w="2610"/>
        <w:gridCol w:w="1435"/>
        <w:tblGridChange w:id="0">
          <w:tblGrid>
            <w:gridCol w:w="4945"/>
            <w:gridCol w:w="2610"/>
            <w:gridCol w:w="143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Number of Lecture Hours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Outcome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Models of security services and countermeasures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Threat analysis and appropriate countermeasures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2, 3, 4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Risk analysis using quantitative and qualitative metrics for evaluating risks and countermeasures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2, 3, 4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Mitigation strategies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Security audits (based on standards such as ISO 27000)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6, 10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and ethical considerations related to the handling and management of enterprise information assets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Incident handling report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8, 10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Impact Analysis and Disaster Recovery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9, 10, 11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widowControl w:val="0"/>
              <w:spacing w:after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40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 of Computing and Information Sciences 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XXXX</w:t>
      </w:r>
      <w:r w:rsidDel="00000000" w:rsidR="00000000" w:rsidRPr="00000000">
        <w:rPr>
          <w:rFonts w:ascii="MS Mincho" w:cs="MS Mincho" w:eastAsia="MS Mincho" w:hAnsi="MS Mincho"/>
          <w:b w:val="1"/>
          <w:rtl w:val="0"/>
        </w:rPr>
        <w:t xml:space="preserve"> 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CyberSecurity Policy and Procedures</w:t>
      </w:r>
    </w:p>
    <w:p w:rsidR="00000000" w:rsidDel="00000000" w:rsidP="00000000" w:rsidRDefault="00000000" w:rsidRPr="00000000">
      <w:pPr>
        <w:widowControl w:val="0"/>
        <w:spacing w:after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Outcomes Emphasized in Laboratory Projects / Assignments</w:t>
      </w:r>
      <w:r w:rsidDel="00000000" w:rsidR="00000000" w:rsidRPr="00000000">
        <w:rPr>
          <w:rtl w:val="0"/>
        </w:rPr>
      </w:r>
    </w:p>
    <w:tbl>
      <w:tblPr>
        <w:tblStyle w:val="Table3"/>
        <w:bidi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Outcome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Number of Weeks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Risk Analysis including BIA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Mitigation Strategies including DR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Incident Report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Threat Analysis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Oral and Written Communication: </w:t>
      </w:r>
      <w:r w:rsidDel="00000000" w:rsidR="00000000" w:rsidRPr="00000000">
        <w:rPr>
          <w:rtl w:val="0"/>
        </w:rPr>
        <w:t xml:space="preserve">BIA, DR, IR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Number of written reports: 3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Approximate number of pages for each report: 5-7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Number of required oral presentations: 1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 xml:space="preserve">Approximate time for each presentation: 10 minutes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Social and Ethical Implications of Computing Topics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Describe legal and ethical considerations related to the handling and management of enterprise information assets. (7)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Theoretical Contents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645"/>
        <w:tblGridChange w:id="0">
          <w:tblGrid>
            <w:gridCol w:w="5715"/>
            <w:gridCol w:w="364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Class Time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IAS Fundamentals (Models of IAS and Threat Assessment)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6 hrs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IAS Operations (IR, DR, Ethical Considerations)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15 hrs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IAS Risk Assessment &amp; Mitigation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15 hrs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IAS Policy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6 hrs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Problem Analysis Experiences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Solution Design Experiences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The Coverage of Knowledge Units within Computer Science Body of Knowledge[1]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91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05"/>
        <w:gridCol w:w="4545"/>
        <w:gridCol w:w="1305"/>
        <w:gridCol w:w="1665"/>
        <w:tblGridChange w:id="0">
          <w:tblGrid>
            <w:gridCol w:w="1605"/>
            <w:gridCol w:w="4545"/>
            <w:gridCol w:w="1305"/>
            <w:gridCol w:w="166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Knowledge Unit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Lecture Hours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Fundamentals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Models of security services and countermeasures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Threat Analysis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Threat analysis and appropriate countermeasures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Threat Analysis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Risk analysis using quantitative and qualitative metrics for evaluating risks and countermeasures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Operations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Mitigation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Operations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Security audits (based on standards such as ISO 27000)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Operations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Legal and ethical considerations related to the handling and management of enterprise information assets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Operations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Incident handling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IAS Operations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Impact Analysis and Disaster Recovery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Tier 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Total Hours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See</w:t>
      </w:r>
      <w:hyperlink r:id="rId5">
        <w:r w:rsidDel="00000000" w:rsidR="00000000" w:rsidRPr="00000000">
          <w:rPr>
            <w:rtl w:val="0"/>
          </w:rPr>
          <w:t xml:space="preserve"> </w:t>
        </w:r>
      </w:hyperlink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http://www.acm.org/education/CS2013-final-report.pdf</w:t>
        </w:r>
      </w:hyperlink>
      <w:r w:rsidDel="00000000" w:rsidR="00000000" w:rsidRPr="00000000">
        <w:rPr>
          <w:rtl w:val="0"/>
        </w:rPr>
        <w:t xml:space="preserve"> for a description of Computer Science Knowledge units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MS Mincho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  <w:jc w:val="center"/>
    </w:pPr>
    <w:fldSimple w:instr="PAGE" w:fldLock="0" w:dirty="0"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720" w:before="0" w:line="240" w:lineRule="auto"/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acm.org/education/CS2013-final-report.pdf" TargetMode="External"/><Relationship Id="rId6" Type="http://schemas.openxmlformats.org/officeDocument/2006/relationships/hyperlink" Target="http://www.acm.org/education/CS2013-final-report.pdf" TargetMode="External"/><Relationship Id="rId7" Type="http://schemas.openxmlformats.org/officeDocument/2006/relationships/footer" Target="footer1.xml"/></Relationships>
</file>