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2575"/>
        <w:gridCol w:w="1784"/>
        <w:gridCol w:w="1730"/>
        <w:gridCol w:w="2170"/>
        <w:gridCol w:w="2170"/>
        <w:gridCol w:w="1068"/>
      </w:tblGrid>
      <w:tr w:rsidR="005C246F" w:rsidRPr="005C246F" w:rsidTr="005C246F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SAMPLE 3 - Criteria based on number of activities</w:t>
            </w:r>
          </w:p>
        </w:tc>
      </w:tr>
      <w:tr w:rsidR="005C246F" w:rsidRPr="005C246F" w:rsidTr="005C246F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246F" w:rsidRPr="005C246F" w:rsidTr="005C246F">
        <w:trPr>
          <w:trHeight w:val="540"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Unsatisfactory (1)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Satisfactory (2)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Good (3)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Very Good (3)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Outstanding (5)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Rating</w:t>
            </w:r>
          </w:p>
        </w:tc>
      </w:tr>
      <w:tr w:rsidR="005C246F" w:rsidRPr="005C246F" w:rsidTr="005C246F">
        <w:trPr>
          <w:trHeight w:val="705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Alignment* between evaluation activities with one or more of the teaching pillars as reported by faculty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No alignment between selection of evaluation activities and the teaching pillars across all three data sources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Alignment between evaluation activities and teaching pillars is minimal or somewhat evident, with connections more clearly communicated for some data sources than others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Alignment between evaluation activities and teaching pillars is evident across all three data sources. </w:t>
            </w:r>
            <w:proofErr w:type="gramStart"/>
            <w:r w:rsidRPr="005C246F">
              <w:rPr>
                <w:rFonts w:ascii="Calibri" w:eastAsia="Times New Roman" w:hAnsi="Calibri" w:cs="Times New Roman"/>
                <w:color w:val="000000"/>
              </w:rPr>
              <w:t>Faculty provide</w:t>
            </w:r>
            <w:proofErr w:type="gramEnd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connections between the pillars and the </w:t>
            </w:r>
            <w:proofErr w:type="spellStart"/>
            <w:r w:rsidRPr="005C246F">
              <w:rPr>
                <w:rFonts w:ascii="Calibri" w:eastAsia="Times New Roman" w:hAnsi="Calibri" w:cs="Times New Roman"/>
                <w:color w:val="000000"/>
              </w:rPr>
              <w:t>evalulation</w:t>
            </w:r>
            <w:proofErr w:type="spellEnd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activities they engaged in, to some extent for all three data sources.  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Alignment between evaluation activities and teaching pillars is clearly evident across al</w:t>
            </w:r>
            <w:bookmarkStart w:id="0" w:name="_GoBack"/>
            <w:bookmarkEnd w:id="0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l three data sources. For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one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of the data sources, faculty provide a strong case for the </w:t>
            </w:r>
            <w:proofErr w:type="gramStart"/>
            <w:r w:rsidRPr="005C246F">
              <w:rPr>
                <w:rFonts w:ascii="Calibri" w:eastAsia="Times New Roman" w:hAnsi="Calibri" w:cs="Times New Roman"/>
                <w:color w:val="000000"/>
              </w:rPr>
              <w:t>alignment  that</w:t>
            </w:r>
            <w:proofErr w:type="gramEnd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includes supporting evidence/examples. 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Alignment between evaluation activities and teaching pillars is strong across all three data sources. For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all three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data sources, </w:t>
            </w:r>
            <w:proofErr w:type="gramStart"/>
            <w:r w:rsidRPr="005C246F">
              <w:rPr>
                <w:rFonts w:ascii="Calibri" w:eastAsia="Times New Roman" w:hAnsi="Calibri" w:cs="Times New Roman"/>
                <w:color w:val="000000"/>
              </w:rPr>
              <w:t>faculty provide</w:t>
            </w:r>
            <w:proofErr w:type="gramEnd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a powerful argument for the alignment that includes supporting evidence/examples.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46F" w:rsidRPr="005C246F" w:rsidTr="005C246F">
        <w:trPr>
          <w:trHeight w:val="70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46F" w:rsidRPr="005C246F" w:rsidTr="005C246F">
        <w:trPr>
          <w:trHeight w:val="214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46F" w:rsidRPr="005C246F" w:rsidTr="005C246F">
        <w:trPr>
          <w:trHeight w:val="31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Peer Data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did not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report engaging in evaluation activities to collect peer feedback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engaged in activities that are not included in the department's teaching evaluation guidelines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previously approved by the department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feedback from peers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more than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feedback from peers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more than 2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feedback from peers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feedback from peers that was more comprehensive in nature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46F" w:rsidRPr="005C246F" w:rsidTr="005C246F">
        <w:trPr>
          <w:trHeight w:val="195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Data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Overall rating of instructor average on SPOTs instrument is less than 2.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SPOTs </w:t>
            </w:r>
            <w:proofErr w:type="spellStart"/>
            <w:r w:rsidRPr="005C246F">
              <w:rPr>
                <w:rFonts w:ascii="Calibri" w:eastAsia="Times New Roman" w:hAnsi="Calibri" w:cs="Times New Roman"/>
                <w:color w:val="000000"/>
              </w:rPr>
              <w:t>satifies</w:t>
            </w:r>
            <w:proofErr w:type="spellEnd"/>
            <w:proofErr w:type="gramEnd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this requirement. All faculty should receive at least a 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student data in addition to SPOTs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more than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student data in addition to SPOTs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student data in addition to SPOTs that was more comprehensive in nature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46F" w:rsidRPr="005C246F" w:rsidTr="005C246F">
        <w:trPr>
          <w:trHeight w:val="3270"/>
        </w:trPr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Self Data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did not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report engaging in evaluation activities to collect self data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engaged in activities that are not included in the department's teaching evaluation guidelines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previously approved by the department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self data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more than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self data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more than 2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self data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reported engaging in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1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evaluation activity to collect self data that was more comprehensive in nature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46F" w:rsidRPr="005C246F" w:rsidTr="005C246F">
        <w:trPr>
          <w:trHeight w:val="42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Instructional Planning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failed to make any connections between the evidence they collected from students, peers, and self to outcomes in their course and/or describe any changes they could potentially make to their course(s) based on that evidence.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made loose connections between the evidence they collected from students, peers, and self to general outcomes in their course(s) and/or </w:t>
            </w:r>
            <w:proofErr w:type="gramStart"/>
            <w:r w:rsidRPr="005C246F">
              <w:rPr>
                <w:rFonts w:ascii="Calibri" w:eastAsia="Times New Roman" w:hAnsi="Calibri" w:cs="Times New Roman"/>
                <w:color w:val="000000"/>
              </w:rPr>
              <w:t>describe  some</w:t>
            </w:r>
            <w:proofErr w:type="gramEnd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broad changes they have made/intend to make to their course(s) based on that evidence. The alignment </w:t>
            </w:r>
            <w:proofErr w:type="gramStart"/>
            <w:r w:rsidRPr="005C246F">
              <w:rPr>
                <w:rFonts w:ascii="Calibri" w:eastAsia="Times New Roman" w:hAnsi="Calibri" w:cs="Times New Roman"/>
                <w:color w:val="000000"/>
              </w:rPr>
              <w:t>with  the</w:t>
            </w:r>
            <w:proofErr w:type="gramEnd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teaching pillars is </w:t>
            </w:r>
            <w:r w:rsidRPr="005C246F">
              <w:rPr>
                <w:rFonts w:ascii="Calibri" w:eastAsia="Times New Roman" w:hAnsi="Calibri" w:cs="Times New Roman"/>
                <w:i/>
                <w:iCs/>
                <w:color w:val="000000"/>
              </w:rPr>
              <w:t>not clearly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evident.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made explicit connections between the evidence they collected from students, peers, and self to general outcomes in their course(s) and/or describe broad changes they have made/intend to make to their course(s) based on that evidence. The alignment with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one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of the teaching pillars is </w:t>
            </w:r>
            <w:r w:rsidRPr="005C246F">
              <w:rPr>
                <w:rFonts w:ascii="Calibri" w:eastAsia="Times New Roman" w:hAnsi="Calibri" w:cs="Times New Roman"/>
                <w:i/>
                <w:iCs/>
                <w:color w:val="000000"/>
              </w:rPr>
              <w:t>somewhat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evident.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made explicit connections between the evidence they collected from students, peers, and self to specific outcomes in their course(s) and/or outline distinct changes they have made/intend to make to their course(s) based on that evidence. The alignment with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one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of the teaching pillars is</w:t>
            </w:r>
            <w:r w:rsidRPr="005C246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directly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evident.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Faculty made explicit and systematic connections between the evidence they collected from students, peers, and self to specific outcomes in their course(s) and/or outline distinct changes they have made/intend to make to their course(s) based on that evidence. The alignment </w:t>
            </w:r>
            <w:proofErr w:type="gramStart"/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with  </w:t>
            </w: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more</w:t>
            </w:r>
            <w:proofErr w:type="gramEnd"/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than one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 xml:space="preserve"> of the teaching pillars is </w:t>
            </w:r>
            <w:r w:rsidRPr="005C246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directly 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t>evident.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46F" w:rsidRPr="005C246F" w:rsidTr="005C246F">
        <w:trPr>
          <w:trHeight w:val="61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F" w:rsidRPr="005C246F" w:rsidRDefault="005C246F" w:rsidP="005C246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Subtotal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46F" w:rsidRPr="005C246F" w:rsidTr="005C246F">
        <w:trPr>
          <w:trHeight w:val="220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considerations (e.g., additional sources, courses taught, course enrollment, stage of faculty member's career)</w:t>
            </w:r>
          </w:p>
        </w:tc>
        <w:tc>
          <w:tcPr>
            <w:tcW w:w="40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The chair may choose to add or subtract up to two points to the subtotal to account for special circumstances.</w:t>
            </w:r>
            <w:r w:rsidRPr="005C246F">
              <w:rPr>
                <w:rFonts w:ascii="Calibri" w:eastAsia="Times New Roman" w:hAnsi="Calibri" w:cs="Times New Roman"/>
                <w:color w:val="000000"/>
              </w:rPr>
              <w:br/>
              <w:t>When the chair exercises this option, they will inform the faculty and provide the reason for the adjustment.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46F" w:rsidRPr="005C246F" w:rsidTr="005C246F">
        <w:trPr>
          <w:trHeight w:val="705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46F" w:rsidRPr="005C246F" w:rsidRDefault="005C246F" w:rsidP="005C2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6F" w:rsidRPr="005C246F" w:rsidRDefault="005C246F" w:rsidP="005C2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4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3E4E" w:rsidRDefault="00813E4E"/>
    <w:sectPr w:rsidR="00813E4E" w:rsidSect="005C24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6F"/>
    <w:rsid w:val="005C246F"/>
    <w:rsid w:val="008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4206</Characters>
  <Application>Microsoft Macintosh Word</Application>
  <DocSecurity>0</DocSecurity>
  <Lines>35</Lines>
  <Paragraphs>9</Paragraphs>
  <ScaleCrop>false</ScaleCrop>
  <Company>Florida International University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Cickovski</dc:creator>
  <cp:keywords/>
  <dc:description/>
  <cp:lastModifiedBy>Trevor Cickovski</cp:lastModifiedBy>
  <cp:revision>1</cp:revision>
  <dcterms:created xsi:type="dcterms:W3CDTF">2020-03-08T19:50:00Z</dcterms:created>
  <dcterms:modified xsi:type="dcterms:W3CDTF">2020-03-08T19:52:00Z</dcterms:modified>
</cp:coreProperties>
</file>